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5A4B46"/>
    <w:p w14:paraId="2E88A196">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EC6308C">
      <w:pPr>
        <w:spacing w:line="540" w:lineRule="exact"/>
        <w:jc w:val="center"/>
        <w:rPr>
          <w:rFonts w:ascii="华文中宋" w:hAnsi="华文中宋" w:eastAsia="华文中宋" w:cs="宋体"/>
          <w:b/>
          <w:kern w:val="0"/>
          <w:sz w:val="52"/>
          <w:szCs w:val="52"/>
        </w:rPr>
      </w:pPr>
    </w:p>
    <w:p w14:paraId="5F8ED0C6">
      <w:pPr>
        <w:spacing w:line="540" w:lineRule="exact"/>
        <w:jc w:val="center"/>
        <w:rPr>
          <w:rFonts w:ascii="华文中宋" w:hAnsi="华文中宋" w:eastAsia="华文中宋" w:cs="宋体"/>
          <w:b/>
          <w:kern w:val="0"/>
          <w:sz w:val="52"/>
          <w:szCs w:val="52"/>
        </w:rPr>
      </w:pPr>
    </w:p>
    <w:p w14:paraId="557650F5">
      <w:pPr>
        <w:spacing w:line="540" w:lineRule="exact"/>
        <w:jc w:val="center"/>
        <w:rPr>
          <w:rFonts w:ascii="华文中宋" w:hAnsi="华文中宋" w:eastAsia="华文中宋" w:cs="宋体"/>
          <w:b/>
          <w:kern w:val="0"/>
          <w:sz w:val="52"/>
          <w:szCs w:val="52"/>
        </w:rPr>
      </w:pPr>
    </w:p>
    <w:p w14:paraId="0A594733">
      <w:pPr>
        <w:spacing w:line="540" w:lineRule="exact"/>
        <w:jc w:val="center"/>
        <w:rPr>
          <w:rFonts w:ascii="华文中宋" w:hAnsi="华文中宋" w:eastAsia="华文中宋" w:cs="宋体"/>
          <w:b/>
          <w:kern w:val="0"/>
          <w:sz w:val="52"/>
          <w:szCs w:val="52"/>
        </w:rPr>
      </w:pPr>
    </w:p>
    <w:p w14:paraId="440835BF">
      <w:pPr>
        <w:spacing w:line="540" w:lineRule="exact"/>
        <w:jc w:val="center"/>
        <w:rPr>
          <w:rFonts w:ascii="华文中宋" w:hAnsi="华文中宋" w:eastAsia="华文中宋" w:cs="宋体"/>
          <w:b/>
          <w:kern w:val="0"/>
          <w:sz w:val="52"/>
          <w:szCs w:val="52"/>
        </w:rPr>
      </w:pPr>
    </w:p>
    <w:p w14:paraId="41A7936E">
      <w:pPr>
        <w:spacing w:line="540" w:lineRule="exact"/>
        <w:jc w:val="center"/>
        <w:rPr>
          <w:rFonts w:ascii="华文中宋" w:hAnsi="华文中宋" w:eastAsia="华文中宋" w:cs="宋体"/>
          <w:b/>
          <w:kern w:val="0"/>
          <w:sz w:val="52"/>
          <w:szCs w:val="52"/>
        </w:rPr>
      </w:pPr>
    </w:p>
    <w:p w14:paraId="769EF91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EFCE1F8">
      <w:pPr>
        <w:spacing w:line="540" w:lineRule="exact"/>
        <w:jc w:val="center"/>
        <w:rPr>
          <w:rFonts w:ascii="华文中宋" w:hAnsi="华文中宋" w:eastAsia="华文中宋" w:cs="宋体"/>
          <w:b/>
          <w:kern w:val="0"/>
          <w:sz w:val="52"/>
          <w:szCs w:val="52"/>
        </w:rPr>
      </w:pPr>
    </w:p>
    <w:p w14:paraId="4BD06D9A">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D95E12B">
      <w:pPr>
        <w:spacing w:line="540" w:lineRule="exact"/>
        <w:jc w:val="center"/>
        <w:rPr>
          <w:rFonts w:hAnsi="宋体" w:eastAsia="仿宋_GB2312" w:cs="宋体"/>
          <w:kern w:val="0"/>
          <w:sz w:val="30"/>
          <w:szCs w:val="30"/>
        </w:rPr>
      </w:pPr>
    </w:p>
    <w:p w14:paraId="7A39A417">
      <w:pPr>
        <w:spacing w:line="540" w:lineRule="exact"/>
        <w:jc w:val="center"/>
        <w:rPr>
          <w:rFonts w:hAnsi="宋体" w:eastAsia="仿宋_GB2312" w:cs="宋体"/>
          <w:kern w:val="0"/>
          <w:sz w:val="30"/>
          <w:szCs w:val="30"/>
        </w:rPr>
      </w:pPr>
    </w:p>
    <w:p w14:paraId="3F77ACBB">
      <w:pPr>
        <w:spacing w:line="540" w:lineRule="exact"/>
        <w:jc w:val="center"/>
        <w:rPr>
          <w:rFonts w:hAnsi="宋体" w:eastAsia="仿宋_GB2312" w:cs="宋体"/>
          <w:kern w:val="0"/>
          <w:sz w:val="30"/>
          <w:szCs w:val="30"/>
        </w:rPr>
      </w:pPr>
    </w:p>
    <w:p w14:paraId="617D77FB">
      <w:pPr>
        <w:spacing w:line="540" w:lineRule="exact"/>
        <w:jc w:val="center"/>
        <w:rPr>
          <w:rFonts w:hAnsi="宋体" w:eastAsia="仿宋_GB2312" w:cs="宋体"/>
          <w:kern w:val="0"/>
          <w:sz w:val="30"/>
          <w:szCs w:val="30"/>
        </w:rPr>
      </w:pPr>
    </w:p>
    <w:p w14:paraId="3F27DE5E">
      <w:pPr>
        <w:spacing w:line="540" w:lineRule="exact"/>
        <w:jc w:val="center"/>
        <w:rPr>
          <w:rFonts w:hAnsi="宋体" w:eastAsia="仿宋_GB2312" w:cs="宋体"/>
          <w:kern w:val="0"/>
          <w:sz w:val="30"/>
          <w:szCs w:val="30"/>
        </w:rPr>
      </w:pPr>
    </w:p>
    <w:p w14:paraId="5BDD6A9A">
      <w:pPr>
        <w:spacing w:line="540" w:lineRule="exact"/>
        <w:rPr>
          <w:rFonts w:hAnsi="宋体" w:eastAsia="仿宋_GB2312" w:cs="宋体"/>
          <w:kern w:val="0"/>
          <w:sz w:val="30"/>
          <w:szCs w:val="30"/>
        </w:rPr>
      </w:pPr>
    </w:p>
    <w:p w14:paraId="7DFB9864">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3087E4E">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吉木萨尔镇卫生院专项资金分配昌州财社【2024】5号关于下达2024年自治区公共卫生服务[地方公共卫生]（全民健康体检项目）补助资金预算的通知</w:t>
      </w:r>
    </w:p>
    <w:p w14:paraId="533652F8">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吉木萨尔镇卫生院</w:t>
      </w:r>
    </w:p>
    <w:p w14:paraId="05C818ED">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吉木萨尔镇卫生院</w:t>
      </w:r>
    </w:p>
    <w:p w14:paraId="2A67016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杨文忠</w:t>
      </w:r>
    </w:p>
    <w:p w14:paraId="4E5927C6">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2025年04月22日</w:t>
      </w:r>
    </w:p>
    <w:p w14:paraId="0E1E6DCA">
      <w:pPr>
        <w:spacing w:line="700" w:lineRule="exact"/>
        <w:ind w:firstLine="708" w:firstLineChars="236"/>
        <w:jc w:val="left"/>
        <w:rPr>
          <w:rFonts w:hAnsi="宋体" w:eastAsia="仿宋_GB2312" w:cs="宋体"/>
          <w:kern w:val="0"/>
          <w:sz w:val="30"/>
          <w:szCs w:val="30"/>
        </w:rPr>
      </w:pPr>
    </w:p>
    <w:p w14:paraId="565DA690">
      <w:pPr>
        <w:spacing w:line="540" w:lineRule="exact"/>
        <w:rPr>
          <w:rStyle w:val="19"/>
          <w:rFonts w:ascii="黑体" w:hAnsi="黑体" w:eastAsia="黑体"/>
          <w:b w:val="0"/>
          <w:spacing w:val="-4"/>
          <w:sz w:val="32"/>
          <w:szCs w:val="32"/>
        </w:rPr>
      </w:pPr>
    </w:p>
    <w:p w14:paraId="492CC37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603499B9">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0F8067E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党中央、国务院高度重视健康素养促进工作，明确提出“提高全民健康素养水平，是提高全民健康水平最根本最经济最有效的措施之一”。近年来，我国大力实施健康中国战略，出台一系列政策举措，推进健康中国建设，开展健康知识普及行动，取得明显成效。监测显示，我国居民健康素养水平呈现持续增长态势，2023年达到29.70%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人民群众的健康获得感明显提升。全民免费健康体检，将自治区惠民政策送到千家万户，使各族群众实实在在地感受到党和政府的关心关爱。全民健康体检实行城乡居民阳性指标管理全覆盖，强化体检机构与上级医疗机构协作，畅通复查、转诊通道，让阳性指标人员得到第一时间的咨询、复查服务，积极做好后期随访服务，让各族人民群众切实感受到全民免费健康体检工作的好处。吉木萨尔县根据现状，特设立本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（1）项目名称：吉木萨尔镇卫生院专项资金分配昌州财社【2024】5号关于下达2024年自治区公共卫生服务[地方公共卫生]（全民健康体检项目）补助资金预算的通知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（2）项目主要内容：免费向城乡居民提供开展全民健康体检工作，通过项目的实施使得居民健康保健意识和知晓率逐步提高。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实施主体：吉木萨尔县吉木萨尔镇卫生院。</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实施时间：本项目实施周期为2024年1月-2024年12月。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实施情况：截止2024年12月31日，完成全民健康体检人数达到18981人；健康档案使用率达到91.92%，体检完成率达到100%，通过实施本项目，居民健康保健意识和知晓率逐步提高；居民健康水平提高。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xml:space="preserve">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1.为城乡居民提供医疗、常见病多发病治疗与护理；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2.恢复期病人的康复治疗与护理；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3.预防保障，初级卫生保健规划实施；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4.卫生信息管理。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5.承担三个社区和四个行政村的城乡居民的十四项公共卫生管理服务工作任务。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吉木萨尔县吉木萨尔镇卫生院机构设置：无下属预算单位，内设3个科室，分别是：行政科、门诊科、公卫科。吉木萨尔县吉木萨尔镇卫生院人员总数34名，其中：在职32名，退休2名，离休0名。吉木萨尔县吉木萨尔镇卫生院是一所能较好开展基本医疗服务和基本公共卫生服务的非营利性的公益医疗机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本项目预算安排总额为118.67万元，资金来源为自治区专项资金，其中：财政资金118.67万元，其他资金0万元，2024年实际收到预算资金118.67万元，预算资金到位率为100%。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截至2024年12月31日，本项目实际支付资金118.67万元，预算执行率100%。本项目资金主要用于支付人员经费费用35.07万元、公用经费费用83.60万元。</w:t>
      </w:r>
    </w:p>
    <w:p w14:paraId="4A2A173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79703A8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项目计划开展全民健康体检工作，使得全民健康体检受益人数达到18048人；健康档案使用率大于70%，项目计划于2024年12月底前完成。通过项目的实施使得居民健康保健意识和知晓率逐步提高；居民健康水平提高。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“全民健康体检受益人数”指标，预期指标值为“≥18048人”；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“健康档案使用率”指标，预期指标值为“≥70%”；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“资金拨付及时率”指标，预期指标值为“=100%”；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“居民健康档案电子化覆盖率”指标，预期指标值为“≥70%”；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“项目完成时间”指标，预期指标值为“2024年12月底”；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“人员经费”指标，预期指标值为“≤35.07万元”；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“公用经费”指标，预期指标值为“≤83.60万元”；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“居民健康水平持续提高”指标，预期指标值为“逐步提高”；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“受益群众满意度”指标，预期指标值为“≥85%”。</w:t>
      </w:r>
    </w:p>
    <w:p w14:paraId="1DFFBA7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388D728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79A7672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吉木萨尔镇卫生院专项资金分配昌州财社【2024】5号关于下达2024年自治区公共卫生服务[地方公共卫生]（全民健康体检项目）补助资金预算的通知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吉木萨尔镇卫生院专项资金分配昌州财社【2024】5号关于下达2024年自治区公共卫生服务[地方公共卫生]（全民健康体检项目）补助资金预算的通知，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受益管理情况；项目管理相关制度及措施是否被认真执行；绩效目标的实现程度（包括是否达到预定产出和效果）等方面进行综合绩效评价。</w:t>
      </w:r>
    </w:p>
    <w:p w14:paraId="444931F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1AA12E45">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A6B925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2E685145">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杨文忠（评价小组组长）：主要负责项目策划和监督，全面负责项目绩效评价办稿的最终质量，对评估人员出具的最终报告质量进行复核，确保评估结果的客观性；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马晓丽、傅晓红（评价小组组员）：主要负责资料的收集，取证、数据统计分析；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范明月（评价小组组员）：主要负责主要负责项目报告的制定，指标的研判，数据分析及报告撰写。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2025年4月15日-4月20日，评价小组按照绩效评价的原则和规范，对取得的资料进行审查核实，对采集的数据进行分析，按照绩效评价指标评分表逐项进行打分、分析、汇总各方评价结果。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2025年4月21日-4月28日，评价小组撰写绩效评价报告，按照新疆维吾尔自治区财政绩效管理信息系统绩效评价模块中统一格式和文本框架撰写绩效评价报告并提交审核。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070DD83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7F73DBE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年初设立的绩效目标，在实施过程中取得了良好的成效，具体表现在：吉木萨尔镇卫生院在2024年1月1日-2024年12月31日内，免费向城乡居民提供全民健康体检服务。辖区内接受全民健康体检受益人数达到18981人，通过实施本项目，使得疾病早筛成果显著：通过全面体检，大量潜在疾病被及时发现。在体检过程中的健康指导和科普宣传，使民众对健康生活方式和疾病预防的重视程度显著增强。全民体检促使基层医疗机构设备更新、人员培训加强，不同层级医疗资源得到有效整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100.00分，绩效评级为“优”。综合评价结论如下：本项目共设置三级指标数量20个，实现三级指标数量20个，总体完成率为102.4%。项目决策类指标共设置6个，满分指标6个，得分率100%；过程管理类指标共设置5个，满分指标5个，得分率100%；项目产出类指标共设置7个，满分指标7个，得分率100.00%；项目效益类指标共设置1个，满分指标1个，得分率100%；项目满意度类指标共设置1个，满分指标1个，得分率100%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 100% 92.80% 100% 100% 100.00%</w:t>
      </w:r>
    </w:p>
    <w:p w14:paraId="2560417C">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2DA03BD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165C10D7">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项目决策类指标由3个二级指标和6个三级指标构成，权重分21.00分，实际得分21分。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立项符合《全民健康素养提升三年行动方案（2024-2027年）》国家法律法规发展规划和相关政策；项目立项与吉木萨尔县吉木萨尔镇卫生院单位“开展2024年中央基本公共卫生服务工作”这一部门职责范围相符，</w:t>
      </w:r>
      <w:r>
        <w:rPr>
          <w:rStyle w:val="19"/>
          <w:rFonts w:hint="eastAsia" w:ascii="楷体" w:hAnsi="楷体" w:eastAsia="楷体"/>
          <w:b w:val="0"/>
          <w:bCs w:val="0"/>
          <w:spacing w:val="-4"/>
          <w:sz w:val="32"/>
          <w:szCs w:val="32"/>
          <w:lang w:val="en-US" w:eastAsia="zh-CN"/>
        </w:rPr>
        <w:t>属于部门</w:t>
      </w:r>
      <w:r>
        <w:rPr>
          <w:rStyle w:val="19"/>
          <w:rFonts w:hint="eastAsia" w:ascii="楷体" w:hAnsi="楷体" w:eastAsia="楷体"/>
          <w:b w:val="0"/>
          <w:bCs w:val="0"/>
          <w:spacing w:val="-4"/>
          <w:sz w:val="32"/>
          <w:szCs w:val="32"/>
        </w:rPr>
        <w:t>履职所需；根据《财政资金直接支付申请书》，本项目资金性质为“一般公共预算资金”，功能分类为“基本公共卫生服务”，经济分类为“商品服务支出”，根据《中华人民共和国预算法》属于公共财政支持范围，符合中央、地方事权支出责任划分原则；经检查财政项目指标大平台，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按文件吉木萨尔镇卫生院专项资金分配昌州财社【2024】5号关于下达2024年自治区公共卫生服务[地方公共卫生]（全民健康体检项目）补助资金预算的通知的资金跑项目流程，使用资金全部都是与体检工作的人员费用、商品服务支出等，资金使用流程完善，符合相关要求；事前会议决策，并在会上阐述相关目标的合理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开展全民健康体检工作，体检覆盖率等于100%；全民健康体检受益人数大于等于18048人；健康档案使用率大于等于70%，体检完成率等于100%，项目计划于2024年12月底前完成。居民健康保健意识和知晓率逐步提高；居民健康水平提高，待项目完成，争取使受益群众满意度不低于85%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②该项目实际工作内容为：免费为城乡居民开展全民健康体检工作，全民健康体检受益人数达到18981人；健康档案使用率达到91.92%。</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截止2024年12月31日，本项目实全民健康体检受益人数达到18981人；健康档案使用率达到91.92%，通过实施本项目，居民健康保健意识和知晓率逐步提高；居民健康水平提高。层医疗服务能力，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④该项目批复的预算金额为118.67万元，《项目支出绩效目标表》中预算金额为118.67万元，预算确定的项目资金与预算确定的项目投资额相匹配。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9个，定量指标7个，定性指标2个，指标量化率为77.78%。</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全民健康体检受益人数”，三级指标的年度指标值与年度绩效目标中任务数一致，已设置时效指标“项目完成时间”。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根据《昌州财社【2024】5号关于下达2024年自治区公共卫生服务[地方公共卫生]（全民健康体检项目）补助资金预算的通知》实施该项目，即预算编制较科学且经过论证；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免费向城乡居民提供全民健康体检服务，项目实际内容为免费向城乡居民提供全民健康体检服务，预算申请与吉木萨尔镇卫生院专项资金分配昌州财社【2024】5号关于下达2024年自治区公共卫生服务[地方公共卫生]（全民健康体检项目）补助资金预算的通知方案中涉及的项目内容匹配；本项目预算申请资金118.67万元，我单位在预算申请中严格按照项目实施内容及测算标准进行核算，其中：人员经费费用35.07万元、公用经费费用83.60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吉木萨尔镇卫生院专项资金分配昌州财社【2024】5号关于下达2024年自治区公共卫生服务[地方公共卫生]（全民健康体检项目）补助资金预算的通知为依据进行资金分配，预算资金分配依据充分。根据吉木萨尔镇卫生院专项资金分配昌州财社【2024】5号关于下达2024年自治区公共卫生服务[地方公共卫生]（全民健康体检项目）补助资金预算的通知，本项目实际到位资金118.67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综上所述，本指标满分为2.00分，根据评分标准得2分，本项目资金分配合理。</w:t>
      </w:r>
      <w:r>
        <w:rPr>
          <w:rStyle w:val="19"/>
          <w:rFonts w:hint="eastAsia" w:ascii="楷体" w:hAnsi="楷体" w:eastAsia="楷体"/>
          <w:b w:val="0"/>
          <w:bCs w:val="0"/>
          <w:spacing w:val="-4"/>
          <w:sz w:val="32"/>
          <w:szCs w:val="32"/>
        </w:rPr>
        <w:tab/>
      </w:r>
    </w:p>
    <w:p w14:paraId="5FAE902C">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19C9A1D4">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项目过程管理类指标由2个二级指标和5个三级指标构成，权重分19.00分，实际得分19分。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本项目预算资金为118.67万元，其中：财政安排资金118.67万元，其他资金0万元，实际到位资金118.67万元，资金到位率为100%。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本项目实际支出资金118.67万元，预算执行率为100%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资金管理办法》、《收支业务管理制度》、《政府采购业务管理制度》、《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资金管理办法》、《收支业务管理制度》、《政府采购业务管理制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全民健康体检项目工作领导小组，由杨文忠任组长，负责项目的组织工作；傅晓红、马晓丽任副组长，负责项目的实施工作；组员包括：范明月和罗蕊，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综上所述，本指标满分为4.00分，根据评分标准得4分，本项目所建立制度执行有效。</w:t>
      </w:r>
    </w:p>
    <w:p w14:paraId="5A5903E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6A0669E0">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项目产出类指标由4个二级指标和7个三级指标构成，权重分30.00分，实际得分30.00分。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“全民健康体检受益人数”指标：预期指标值为“大于等于18048”，实际完成指标值为“18981”，指标完成率为105%。偏差原因：年初设置目标较低，实际超额完成指标任务。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综上所述，本指标满分为6分，根据评分标准得6.0分。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“健康档案使用率”指标：预期指标值为“大于等于70%”，实际完成指标值为“91.92%”，指标完成率为131%。偏差原因：年初设置目标较低，实际超额完成指标任务。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综上所述，本指标满分为6分，根据评分标准得6分。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“资金拨付及时率”指标：预期指标值为“等于100%”，实际完成指标值为“100%”，指标完成率为100%。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“居民健康档案电子化覆盖率”指标：预期指标值为“大于等于70%”，实际完成指标值为“78.04%”，指标完成率为112%。偏差原因：年初设置目标较低，实际超额完成指标任务。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“项目完成时间”指标：预期指标值为“2024年12月底前”，实际完成指标值为“2024年11月20日”，指标完成率为100%。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综上所述，本指标满分为2分，根据评分标准得2分。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“人员经费”指标：预期指标值为“小于等于35.07万元”，实际完成指标值为“35.07万元”，指标完成率为100%。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“公用经费”指标：预期指标值为“小于等于83.60万元”，实际完成指标值为“83.60万元”，指标完成率为100%。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3158928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4AF096C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项目效益类指标由1个二级指标和1个三级指标构成，权重分20.00分，实际得分20分。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“居民健康水平持续提高”指标：预期指标值为“逐步提高”，实际完成指标值为“逐步提高”，指标完成率为100%。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综上所述，本指标满分为20分，根据评分标准得20分。</w:t>
      </w:r>
    </w:p>
    <w:p w14:paraId="7D06228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项目满意度类指标由1个二级指标和1个三级指标构成，权重分10.00分，实际得分10分。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“受益群众满意度（%）”指标：预期指标值为“大于等于85%”，实际完成指标值为“85%”，指标完成率为100%。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p>
    <w:p w14:paraId="3849A11A">
      <w:pPr>
        <w:spacing w:line="540" w:lineRule="exact"/>
        <w:ind w:firstLine="567"/>
        <w:rPr>
          <w:rStyle w:val="19"/>
          <w:rFonts w:hint="eastAsia" w:ascii="楷体" w:hAnsi="楷体" w:eastAsia="楷体"/>
          <w:b w:val="0"/>
          <w:bCs w:val="0"/>
          <w:spacing w:val="-4"/>
          <w:sz w:val="32"/>
          <w:szCs w:val="32"/>
        </w:rPr>
      </w:pPr>
    </w:p>
    <w:p w14:paraId="2639C28A">
      <w:pPr>
        <w:spacing w:line="540" w:lineRule="exact"/>
        <w:ind w:firstLine="567"/>
        <w:rPr>
          <w:rStyle w:val="19"/>
          <w:rFonts w:ascii="楷体" w:hAnsi="楷体" w:eastAsia="楷体"/>
          <w:spacing w:val="-4"/>
          <w:sz w:val="32"/>
          <w:szCs w:val="32"/>
        </w:rPr>
      </w:pPr>
    </w:p>
    <w:p w14:paraId="1796D280">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7C030715">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在2024年初已经按照文件要求设立绩效监控工作组织机构，成立监控工作领导小组，配备专职人员，明确责任分工，制定绩效监控工作计划和工作方案，确保绩效监控工作正常运行。依托财务科为主体，单位主要领导任绩效监控工作小组组长、会计和出纳及办公室等相关业务科室负责人为小组成员，开展单位绩效监控工作，做绩效项目时，首先由公共卫生相关人员提供与公共卫生相关的绩效目标，其次，由相关人员设置绩效目标以及年度中期对绩效目标的监控，确保偏差目标在年底能够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年度设置指标全民健康体检受益人数超额完成年初的指标值，主要原因是辖区内体检人数会随时变动。下一年度在设置人数指标时应当充分考虑人数变动的影响，提前预防因人数变动导致达不到指标值或者超额完成指标的现象。</w:t>
      </w:r>
    </w:p>
    <w:p w14:paraId="74D9F38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6E94CFA0">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我单位在2024年设置数值指标时应根据辖区内人数和上年度人数之间的比对进行设置，在设置三级指标的同时应考虑年底是否可以达到指标值。</w:t>
      </w:r>
    </w:p>
    <w:p w14:paraId="54CE458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6D410CD7">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w:t>
      </w:r>
      <w:bookmarkStart w:id="0" w:name="_GoBack"/>
      <w:bookmarkEnd w:id="0"/>
      <w:r>
        <w:rPr>
          <w:rStyle w:val="19"/>
          <w:rFonts w:hint="eastAsia" w:ascii="楷体" w:hAnsi="楷体" w:eastAsia="楷体"/>
          <w:b w:val="0"/>
          <w:bCs w:val="0"/>
          <w:spacing w:val="-4"/>
          <w:sz w:val="32"/>
          <w:szCs w:val="32"/>
        </w:rPr>
        <w:t>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7DD29106">
      <w:pPr>
        <w:spacing w:line="540" w:lineRule="exact"/>
        <w:ind w:firstLine="567"/>
        <w:rPr>
          <w:rStyle w:val="19"/>
          <w:rFonts w:ascii="仿宋" w:hAnsi="仿宋" w:eastAsia="仿宋"/>
          <w:b w:val="0"/>
          <w:spacing w:val="-4"/>
          <w:sz w:val="32"/>
          <w:szCs w:val="32"/>
        </w:rPr>
      </w:pPr>
    </w:p>
    <w:p w14:paraId="4065D129">
      <w:pPr>
        <w:spacing w:line="540" w:lineRule="exact"/>
        <w:ind w:firstLine="567"/>
        <w:rPr>
          <w:rStyle w:val="19"/>
          <w:rFonts w:ascii="仿宋" w:hAnsi="仿宋" w:eastAsia="仿宋"/>
          <w:b w:val="0"/>
          <w:spacing w:val="-4"/>
          <w:sz w:val="32"/>
          <w:szCs w:val="32"/>
        </w:rPr>
      </w:pPr>
    </w:p>
    <w:p w14:paraId="5B9E7E84">
      <w:pPr>
        <w:spacing w:line="540" w:lineRule="exact"/>
        <w:ind w:firstLine="567"/>
        <w:rPr>
          <w:rStyle w:val="19"/>
          <w:rFonts w:ascii="仿宋" w:hAnsi="仿宋" w:eastAsia="仿宋"/>
          <w:b w:val="0"/>
          <w:spacing w:val="-4"/>
          <w:sz w:val="32"/>
          <w:szCs w:val="32"/>
        </w:rPr>
      </w:pPr>
    </w:p>
    <w:p w14:paraId="73CAEF0F">
      <w:pPr>
        <w:spacing w:line="540" w:lineRule="exact"/>
        <w:ind w:firstLine="567"/>
        <w:rPr>
          <w:rStyle w:val="19"/>
          <w:rFonts w:ascii="仿宋" w:hAnsi="仿宋" w:eastAsia="仿宋"/>
          <w:b w:val="0"/>
          <w:spacing w:val="-4"/>
          <w:sz w:val="32"/>
          <w:szCs w:val="32"/>
        </w:rPr>
      </w:pPr>
    </w:p>
    <w:p w14:paraId="005DD735">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EB0CD59">
        <w:pPr>
          <w:pStyle w:val="12"/>
          <w:jc w:val="center"/>
        </w:pPr>
        <w:r>
          <w:fldChar w:fldCharType="begin"/>
        </w:r>
        <w:r>
          <w:instrText xml:space="preserve">PAGE   \* MERGEFORMAT</w:instrText>
        </w:r>
        <w:r>
          <w:fldChar w:fldCharType="separate"/>
        </w:r>
        <w:r>
          <w:rPr>
            <w:lang w:val="zh-CN"/>
          </w:rPr>
          <w:t>2</w:t>
        </w:r>
        <w:r>
          <w:fldChar w:fldCharType="end"/>
        </w:r>
      </w:p>
    </w:sdtContent>
  </w:sdt>
  <w:p w14:paraId="37C661E8">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32A34C14"/>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6"/>
    <w:semiHidden/>
    <w:unhideWhenUsed/>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qFormat/>
    <w:uiPriority w:val="10"/>
    <w:rPr>
      <w:rFonts w:asciiTheme="majorHAnsi" w:hAnsiTheme="majorHAnsi" w:eastAsiaTheme="majorEastAsia"/>
      <w:b/>
      <w:bCs/>
      <w:kern w:val="28"/>
      <w:sz w:val="32"/>
      <w:szCs w:val="32"/>
    </w:rPr>
  </w:style>
  <w:style w:type="character" w:customStyle="1" w:styleId="31">
    <w:name w:val="副标题 Char"/>
    <w:basedOn w:val="18"/>
    <w:link w:val="14"/>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uiPriority w:val="99"/>
    <w:rPr>
      <w:rFonts w:ascii="Calibri" w:hAnsi="Calibri" w:eastAsia="宋体"/>
      <w:kern w:val="2"/>
      <w:sz w:val="18"/>
      <w:szCs w:val="18"/>
    </w:rPr>
  </w:style>
  <w:style w:type="character" w:customStyle="1" w:styleId="45">
    <w:name w:val="页脚 Char"/>
    <w:basedOn w:val="18"/>
    <w:link w:val="12"/>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ea36b2dc-cab2-43f3-a3c4-df91cb257b26}">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11956</Words>
  <Characters>12719</Characters>
  <Lines>4</Lines>
  <Paragraphs>1</Paragraphs>
  <TotalTime>7</TotalTime>
  <ScaleCrop>false</ScaleCrop>
  <LinksUpToDate>false</LinksUpToDate>
  <CharactersWithSpaces>12759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来财&amp;十个晴天</cp:lastModifiedBy>
  <cp:lastPrinted>2018-12-31T10:56:00Z</cp:lastPrinted>
  <dcterms:modified xsi:type="dcterms:W3CDTF">2025-10-13T10:40:57Z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eyJoZGlkIjoiNTM1NjJiMTUwNmFhZWNlZmQwNDVjMDAxNDMwM2IwMDkiLCJ1c2VySWQiOiIzNzI2MDMzNTYifQ==</vt:lpwstr>
  </property>
</Properties>
</file>